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>
        <w:t> 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bCs/>
        </w:rPr>
      </w:pPr>
      <w:r>
        <w:t>1.1 Ответственным за организацию бухгалтерского учета в учреждении и соблюдение законодательства при выполнении хозяйственных операций является руководитель учреждения.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rPr>
          <w:bCs/>
        </w:rPr>
        <w:t>(</w:t>
      </w:r>
      <w:r>
        <w:rPr>
          <w:bCs/>
          <w:i/>
          <w:iCs/>
        </w:rPr>
        <w:t>Основание:</w:t>
      </w:r>
      <w:r>
        <w:rPr>
          <w:i/>
          <w:iCs/>
        </w:rPr>
        <w:t xml:space="preserve"> часть 1 статьи 7 Закона от 6 декабря 2011 г. № 402-ФЗ</w:t>
      </w:r>
      <w:r>
        <w:t>.)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1.2. Бухгалтерский (бюджетный) учет ведется структурным подразделением – бухгалтерией, возглавляемым Главным бухгалтером. Сотрудники бухгалтерии руководствуются в своей деятельности Положением о бухгалтерии (Приложение 1), должностными инструкциями.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rPr>
          <w:bCs/>
        </w:rPr>
        <w:t>(</w:t>
      </w:r>
      <w:r>
        <w:rPr>
          <w:bCs/>
          <w:i/>
          <w:iCs/>
        </w:rPr>
        <w:t xml:space="preserve">Основание: </w:t>
      </w:r>
      <w:r>
        <w:rPr>
          <w:i/>
          <w:iCs/>
        </w:rPr>
        <w:t>часть 3 статьи 7 Закона от 6 декабря 2011 г. № 402-ФЗ.</w:t>
      </w:r>
      <w:r>
        <w:t>)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1.3. Главный бухгалтер подчиняется непосредственно руководителю учреждения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(финансовой), налоговой и статистической отчетности.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Требования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сотрудников учреждения.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i/>
          <w:iCs/>
        </w:rPr>
      </w:pPr>
      <w:r>
        <w:rPr>
          <w:bCs/>
          <w:i/>
          <w:iCs/>
        </w:rPr>
        <w:t>(Основание:</w:t>
      </w:r>
      <w:r>
        <w:rPr>
          <w:i/>
          <w:iCs/>
        </w:rPr>
        <w:t xml:space="preserve"> пункт 8 Инструкции к Единому плану счетов № 157н.)</w:t>
      </w:r>
    </w:p>
    <w:p w:rsidR="007524C2" w:rsidRDefault="007524C2" w:rsidP="007524C2">
      <w:pPr>
        <w:spacing w:line="300" w:lineRule="auto"/>
        <w:ind w:firstLine="709"/>
        <w:jc w:val="both"/>
        <w:outlineLvl w:val="1"/>
        <w:rPr>
          <w:bCs/>
        </w:rPr>
      </w:pPr>
      <w:bookmarkStart w:id="0" w:name="_ref_1-2f2cf22414f448"/>
      <w:r>
        <w:rPr>
          <w:bCs/>
        </w:rPr>
        <w:t>1.4    Для отражения объектов учета и изменяющих их фактов хозяйственной жизни используются формы первичных учетных документов:</w:t>
      </w:r>
      <w:bookmarkEnd w:id="0"/>
    </w:p>
    <w:p w:rsidR="007524C2" w:rsidRDefault="007524C2" w:rsidP="007524C2">
      <w:pPr>
        <w:spacing w:line="300" w:lineRule="auto"/>
        <w:ind w:firstLine="709"/>
        <w:jc w:val="both"/>
      </w:pPr>
      <w:r>
        <w:t>- утвержденные Приказом Минфина России № 52н;</w:t>
      </w:r>
    </w:p>
    <w:p w:rsidR="007524C2" w:rsidRDefault="007524C2" w:rsidP="007524C2">
      <w:pPr>
        <w:spacing w:line="300" w:lineRule="auto"/>
        <w:ind w:firstLine="709"/>
        <w:jc w:val="both"/>
      </w:pPr>
      <w:r>
        <w:t>- утвержденные правовыми актами уполномоченных органов исполнительной власти (при их отсутствии в Приказе Минфина России № 52н);</w:t>
      </w:r>
    </w:p>
    <w:p w:rsidR="007524C2" w:rsidRDefault="007524C2" w:rsidP="007524C2">
      <w:pPr>
        <w:spacing w:line="300" w:lineRule="auto"/>
        <w:ind w:firstLine="709"/>
        <w:jc w:val="both"/>
      </w:pPr>
      <w:r>
        <w:t xml:space="preserve">- самостоятельно разработанные, приведенные в Приложении  </w:t>
      </w:r>
      <w:r>
        <w:fldChar w:fldCharType="begin" w:fldLock="1"/>
      </w:r>
      <w:r>
        <w:instrText xml:space="preserve"> REF _ref_1-feb7c350795545 \h \n \!  \* MERGEFORMAT </w:instrText>
      </w:r>
      <w:r>
        <w:fldChar w:fldCharType="separate"/>
      </w:r>
      <w:r>
        <w:t>2</w:t>
      </w:r>
      <w:r>
        <w:fldChar w:fldCharType="end"/>
      </w:r>
      <w:r>
        <w:t xml:space="preserve"> к Учетной политике.</w:t>
      </w:r>
    </w:p>
    <w:p w:rsidR="007524C2" w:rsidRDefault="007524C2" w:rsidP="007524C2">
      <w:pPr>
        <w:spacing w:line="300" w:lineRule="auto"/>
        <w:ind w:firstLine="709"/>
        <w:jc w:val="both"/>
      </w:pPr>
      <w:r>
        <w:rPr>
          <w:i/>
        </w:rPr>
        <w:t>(Основание: ч. 2, 4 ст. 9 Закона № 402-ФЗ, п. 25 СГС "Концептуальные основы", п. 9 СГС "Учетная политика")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709"/>
        <w:jc w:val="both"/>
      </w:pPr>
      <w:r>
        <w:t>1.5   В учреждении приказом руководителя утвержден состав постоянно действующих комиссий:</w:t>
      </w:r>
    </w:p>
    <w:p w:rsidR="007524C2" w:rsidRDefault="007524C2" w:rsidP="007524C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</w:pPr>
      <w:r>
        <w:t xml:space="preserve">комиссии по поступлению и выбытию активов; </w:t>
      </w:r>
    </w:p>
    <w:p w:rsidR="007524C2" w:rsidRDefault="007524C2" w:rsidP="007524C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</w:pPr>
      <w:r>
        <w:t xml:space="preserve">инвентаризационной комиссии; </w:t>
      </w:r>
    </w:p>
    <w:p w:rsidR="007524C2" w:rsidRDefault="007524C2" w:rsidP="007524C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709"/>
        <w:jc w:val="both"/>
      </w:pPr>
      <w:r>
        <w:t>комиссии для проведения внезапной ревизии кассы.</w:t>
      </w:r>
    </w:p>
    <w:p w:rsidR="007524C2" w:rsidRDefault="007524C2" w:rsidP="007524C2">
      <w:pPr>
        <w:spacing w:line="300" w:lineRule="auto"/>
        <w:ind w:firstLine="709"/>
        <w:jc w:val="both"/>
        <w:outlineLvl w:val="1"/>
        <w:rPr>
          <w:bCs/>
        </w:rPr>
      </w:pPr>
      <w:bookmarkStart w:id="1" w:name="_ref_1-e05e4bef9e0246"/>
      <w:r>
        <w:rPr>
          <w:bCs/>
        </w:rPr>
        <w:t>1.5.1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активов, действующей в соответствии с положением, приведенным в Приложении 3 к Учетной политике.</w:t>
      </w:r>
      <w:bookmarkEnd w:id="1"/>
    </w:p>
    <w:p w:rsidR="007524C2" w:rsidRDefault="007524C2" w:rsidP="007524C2">
      <w:pPr>
        <w:spacing w:line="300" w:lineRule="auto"/>
        <w:ind w:firstLine="709"/>
        <w:jc w:val="both"/>
        <w:rPr>
          <w:i/>
        </w:rPr>
      </w:pPr>
      <w:r>
        <w:rPr>
          <w:i/>
        </w:rPr>
        <w:t>(Основание: п. 9 СГС "Учетная политика")</w:t>
      </w:r>
    </w:p>
    <w:p w:rsidR="007524C2" w:rsidRDefault="007524C2" w:rsidP="007524C2">
      <w:pPr>
        <w:spacing w:line="300" w:lineRule="auto"/>
        <w:ind w:firstLine="709"/>
        <w:jc w:val="both"/>
        <w:outlineLvl w:val="1"/>
        <w:rPr>
          <w:bCs/>
        </w:rPr>
      </w:pPr>
      <w:bookmarkStart w:id="2" w:name="_ref_1-aa1ac911f90346"/>
      <w:r>
        <w:rPr>
          <w:bCs/>
        </w:rPr>
        <w:t>1.5.2 Достоверность данных учета и отчетности подтверждается путем инвентаризаций активов и обязательств, проводимых в соответствии с порядком, приведенным в Приложении 4 к Учетной политике.</w:t>
      </w:r>
      <w:bookmarkEnd w:id="2"/>
    </w:p>
    <w:p w:rsidR="007524C2" w:rsidRDefault="007524C2" w:rsidP="007524C2">
      <w:pPr>
        <w:spacing w:line="300" w:lineRule="auto"/>
        <w:ind w:firstLine="709"/>
        <w:jc w:val="both"/>
      </w:pPr>
      <w:r>
        <w:rPr>
          <w:i/>
        </w:rPr>
        <w:lastRenderedPageBreak/>
        <w:t>(Основание: ч. 3 ст. 11 Закона № 402-ФЗ, п. 80 СГС "Концептуальные основы", п. 9 СГС "Учетная политика")</w:t>
      </w:r>
    </w:p>
    <w:p w:rsidR="007524C2" w:rsidRDefault="007524C2" w:rsidP="007524C2">
      <w:pPr>
        <w:spacing w:line="300" w:lineRule="auto"/>
        <w:ind w:firstLine="709"/>
        <w:jc w:val="both"/>
        <w:outlineLvl w:val="1"/>
        <w:rPr>
          <w:bCs/>
        </w:rPr>
      </w:pPr>
      <w:r>
        <w:rPr>
          <w:bCs/>
        </w:rPr>
        <w:t xml:space="preserve">1.5.3 В графе </w:t>
      </w:r>
      <w:hyperlink r:id="rId5" w:history="1">
        <w:r>
          <w:rPr>
            <w:rStyle w:val="a4"/>
            <w:bCs/>
          </w:rPr>
          <w:t>8</w:t>
        </w:r>
      </w:hyperlink>
      <w:bookmarkStart w:id="3" w:name="_ref_1-a198a959a7d149"/>
      <w:r>
        <w:rPr>
          <w:bCs/>
        </w:rPr>
        <w:t xml:space="preserve"> Инвентаризационной описи (ф. 0504087) отражается статус объекта учета по его коду.</w:t>
      </w:r>
      <w:bookmarkEnd w:id="3"/>
    </w:p>
    <w:p w:rsidR="007524C2" w:rsidRDefault="007524C2" w:rsidP="007524C2">
      <w:pPr>
        <w:spacing w:line="300" w:lineRule="auto"/>
        <w:ind w:firstLine="709"/>
        <w:jc w:val="both"/>
      </w:pPr>
      <w:r>
        <w:rPr>
          <w:i/>
        </w:rPr>
        <w:t>(Основание: Методические указания № 52н)</w:t>
      </w:r>
    </w:p>
    <w:p w:rsidR="007524C2" w:rsidRDefault="007524C2" w:rsidP="007524C2">
      <w:pPr>
        <w:spacing w:line="300" w:lineRule="auto"/>
        <w:ind w:firstLine="709"/>
        <w:jc w:val="both"/>
        <w:outlineLvl w:val="1"/>
        <w:rPr>
          <w:bCs/>
        </w:rPr>
      </w:pPr>
      <w:r>
        <w:rPr>
          <w:bCs/>
        </w:rPr>
        <w:t xml:space="preserve">1.5.4 В графе </w:t>
      </w:r>
      <w:hyperlink r:id="rId6" w:history="1">
        <w:r>
          <w:rPr>
            <w:rStyle w:val="a4"/>
            <w:bCs/>
          </w:rPr>
          <w:t>9</w:t>
        </w:r>
      </w:hyperlink>
      <w:bookmarkStart w:id="4" w:name="_ref_1-1300097c456f47"/>
      <w:r>
        <w:rPr>
          <w:bCs/>
        </w:rPr>
        <w:t xml:space="preserve"> Инвентаризационной описи (сличительной ведомости) по объектам нефинансовых активов (ф. 0504087) отражается целевая функция актива по ее коду.</w:t>
      </w:r>
      <w:bookmarkEnd w:id="4"/>
    </w:p>
    <w:p w:rsidR="007524C2" w:rsidRDefault="007524C2" w:rsidP="007524C2">
      <w:pPr>
        <w:spacing w:line="300" w:lineRule="auto"/>
        <w:ind w:firstLine="709"/>
        <w:jc w:val="both"/>
      </w:pPr>
      <w:r>
        <w:rPr>
          <w:i/>
        </w:rPr>
        <w:t>(Основание: Методические указания № 52н)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1.6 Учреждение публикует основные положения учетной политики на своем официальном сайте путем размещения копий документов учетной политики.</w:t>
      </w:r>
    </w:p>
    <w:p w:rsidR="007524C2" w:rsidRDefault="007524C2" w:rsidP="0075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(</w:t>
      </w:r>
      <w:r>
        <w:rPr>
          <w:i/>
          <w:iCs/>
        </w:rPr>
        <w:t>Основание: пункт 9 СГС «Учетная политика, оценочные значения и ошибки»</w:t>
      </w:r>
      <w:r>
        <w:t>.)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 1.7 Перечень должностей сотрудников, с которыми учреждение заключает договоры о полной материальной ответственности, приведен в Приложении 5.</w:t>
      </w:r>
    </w:p>
    <w:p w:rsidR="007524C2" w:rsidRDefault="007524C2" w:rsidP="007524C2">
      <w:pPr>
        <w:spacing w:line="300" w:lineRule="auto"/>
        <w:ind w:firstLine="709"/>
        <w:jc w:val="both"/>
        <w:outlineLvl w:val="1"/>
        <w:rPr>
          <w:bCs/>
        </w:rPr>
      </w:pPr>
      <w:r>
        <w:t xml:space="preserve">1.7.1. </w:t>
      </w:r>
      <w:r>
        <w:rPr>
          <w:bCs/>
        </w:rPr>
        <w:t>Форма ведения учета - автоматизированная с применением компьютерной программы 1-С: Предприятие 8.3.</w:t>
      </w:r>
    </w:p>
    <w:p w:rsidR="007524C2" w:rsidRDefault="007524C2" w:rsidP="007524C2">
      <w:pPr>
        <w:spacing w:line="300" w:lineRule="auto"/>
        <w:ind w:firstLine="709"/>
        <w:jc w:val="both"/>
      </w:pPr>
      <w:r>
        <w:rPr>
          <w:i/>
        </w:rPr>
        <w:t>(Основание: п. 19 Инструкции № 157н, п. 9 СГС "Учетная политика")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1.7.2.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 xml:space="preserve">- система электронного </w:t>
      </w:r>
      <w:proofErr w:type="spellStart"/>
      <w:r>
        <w:t>документооборотас</w:t>
      </w:r>
      <w:proofErr w:type="spellEnd"/>
      <w:r>
        <w:t xml:space="preserve"> территориальным органом Казначейства России (формирование платежных поручений в виде электронного документа);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- передача бухгалтерской отчетности учредителю;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-передача отчетности по налогам, сборам и иным обязательным платежам в инспекцию Федеральной налоговой службы</w:t>
      </w:r>
      <w:r>
        <w:rPr>
          <w:lang w:val="en-US"/>
        </w:rPr>
        <w:t>;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- передача статистической отчетности в Росстат;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- передача отчетности в ФСС;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- размещение информации о деятельности учреждения на официальном сайте bus.gov.ru.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1.8. Лимит остатка наличных денег в кассе устанавливается расчетным путем 1 раз в год.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Допускается накопление наличных денег в кассе сверх установленного лимита в дни выдачи заработной платы, социальных выплат.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Продолжительность срока выдачи указанных выплат составляет 5 (пять) рабочих дней (включая день получения наличных денег с банковского счета на указанные выплаты).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1.9. В данные бухучета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существенное влияние на финансовое состояние, движение денег или результаты деятельности учреждения (далее – события после отчетной даты).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Существенным фактом хозяйственной жизни в данном случае признается событие, стоимостное значение которого составляет более 5 процентов валюты баланса.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Событиями после отчетной даты являются: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lastRenderedPageBreak/>
        <w:t>- обнаружение бухгалтерской ошибки, нарушений законодательства, которые влекут искажение бухгалтерской отчетности;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- пожар, авария, стихийное бедствие, другая чрезвычайная ситуация, из-за которой уничтожена значительная часть имущества учреждения.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t>События после отчетной даты отражаются в бухучете заключительными операциями отчетного года.</w:t>
      </w:r>
    </w:p>
    <w:p w:rsidR="007524C2" w:rsidRDefault="007524C2" w:rsidP="007524C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  <w:rPr>
          <w:color w:val="000000"/>
        </w:rPr>
      </w:pPr>
      <w:r>
        <w:rPr>
          <w:bCs/>
        </w:rPr>
        <w:t>(</w:t>
      </w:r>
      <w:r>
        <w:rPr>
          <w:bCs/>
          <w:i/>
          <w:iCs/>
        </w:rPr>
        <w:t>Основание:</w:t>
      </w:r>
      <w:r>
        <w:rPr>
          <w:i/>
          <w:iCs/>
        </w:rPr>
        <w:t xml:space="preserve"> пункт 3 Инструкции к Единому плану счетов № 157н</w:t>
      </w:r>
      <w:r>
        <w:t>.)</w:t>
      </w:r>
    </w:p>
    <w:p w:rsidR="007524C2" w:rsidRDefault="007524C2" w:rsidP="0075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 1.10.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7524C2" w:rsidRDefault="007524C2" w:rsidP="0075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  <w:r>
        <w:t>(</w:t>
      </w:r>
      <w:r>
        <w:rPr>
          <w:i/>
          <w:iCs/>
        </w:rPr>
        <w:t>Основание: пункты 17, 20, 32 СГС «Учетная политика, оценочные значения и ошибки»</w:t>
      </w:r>
      <w:r>
        <w:t>.)</w:t>
      </w:r>
    </w:p>
    <w:p w:rsidR="007524C2" w:rsidRDefault="007524C2" w:rsidP="0075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</w:p>
    <w:p w:rsidR="007524C2" w:rsidRDefault="007524C2" w:rsidP="0075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</w:p>
    <w:p w:rsidR="007524C2" w:rsidRDefault="007524C2" w:rsidP="0075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</w:p>
    <w:p w:rsidR="007524C2" w:rsidRDefault="007524C2" w:rsidP="007524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709"/>
        <w:jc w:val="both"/>
      </w:pPr>
    </w:p>
    <w:p w:rsidR="00951CB9" w:rsidRDefault="00951CB9">
      <w:bookmarkStart w:id="5" w:name="_GoBack"/>
      <w:bookmarkEnd w:id="5"/>
    </w:p>
    <w:sectPr w:rsidR="0095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912CD3E8"/>
    <w:lvl w:ilvl="0">
      <w:start w:val="1"/>
      <w:numFmt w:val="bullet"/>
      <w:lvlText w:val="-"/>
      <w:lvlJc w:val="left"/>
      <w:pPr>
        <w:ind w:left="72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C2"/>
    <w:rsid w:val="007524C2"/>
    <w:rsid w:val="009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4CA69-D14F-4E59-A1B4-EC0121A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4C2"/>
  </w:style>
  <w:style w:type="character" w:styleId="a4">
    <w:name w:val="Hyperlink"/>
    <w:basedOn w:val="a0"/>
    <w:uiPriority w:val="99"/>
    <w:semiHidden/>
    <w:unhideWhenUsed/>
    <w:rsid w:val="00752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161AA42813FF2C5CEF20345109A18045E915A4D486592BF0D91A3DD55F1698951AD87C989255BD5FBE190C6009D654393C4422B6702763792395C7026DDCADF98121AE86249BB26E826402AC30ABA92EEdAR9M" TargetMode="External"/><Relationship Id="rId5" Type="http://schemas.openxmlformats.org/officeDocument/2006/relationships/hyperlink" Target="consultantplus://offline/ref=9D8161AA42813FF2C5CEF20345109A18045E915A4D486592BF0D91A3DD55F1698951AD87C989255BD5FBE190C6009D654393C4422B6702763792395C7027DDCADF98121AE86149BB26E826402AC30ABA92EEdAR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</cp:revision>
  <dcterms:created xsi:type="dcterms:W3CDTF">2020-12-14T12:40:00Z</dcterms:created>
  <dcterms:modified xsi:type="dcterms:W3CDTF">2020-12-14T12:41:00Z</dcterms:modified>
</cp:coreProperties>
</file>